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ind w:firstLine="425"/>
      </w:pPr>
      <w:r>
        <w:rPr>
          <w:rFonts w:ascii="Microsoft YaHei" w:hAnsi="Microsoft YaHei" w:eastAsia="Microsoft YaHei"/>
        </w:rPr>
        <w:t>@page { size: A4; margin: 20mm 15mm;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* { box-sizing: border-box; margin: 0; padding: 0;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body {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font-family: "PingFang SC", "Microsoft YaHei", "Noto Sans SC", sans-serif;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font-size: 11pt;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line-height: 1.8;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color: #222;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padding: 20px 30px;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h1 { font-size: 20pt; text-align: center; margin: 20px 0; color: #1a5276;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h2 { font-size: 15pt; margin: 24px 0 10px; color: #2c3e50; border-bottom: 2px solid #2c3e50; padding-bottom: 4px;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h3 { font-size: 13pt; margin: 18px 0 8px; color: #34495e;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h4 { font-size: 11.5pt; margin: 14px 0 6px; color: #555;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p { margin: 6px 0; text-indent: 2em;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ul, ol { margin: 8px 0 8px 2em;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li { margin: 3px 0;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table { width: 100%; border-collapse: collapse; margin: 12px 0; font-size: 9.5pt;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th, td { border: 1px solid #999; padding: 5px 8px; text-align: center;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th { background: #2c3e50; color: #fff; font-weight: 600;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tr:nth-child(even) { background: #f5f7fa;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.cover {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text-align: center;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padding: 80px 0 50px;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page-break-after: always;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.cover h1 { font-size: 28pt; margin-bottom: 30px;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.cover .subtitle { font-size: 14pt; color: #666; margin-bottom: 10px;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.cover .date { font-size: 12pt; color: #999; margin-top: 50px;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.exam-box {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background: #fef9e7;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border: 1px solid #f9e79f;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border-radius: 8px;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padding: 16px 20px;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margin: 16px 0;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page-break-inside: avoid;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.exam-box h3 { margin-top: 0; color: #b7950b;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.exam-box .hint {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background: #eaf2f8;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border-left: 4px solid #2980b9;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padding: 8px 12px;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margin: 8px 0;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font-size: 10pt;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color: #555;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.exam-box p { text-indent: 0;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.exam-box ul, .exam-box ol { margin-left: 1.5em;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.section-break { page-break-before: always;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@media print {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body { padding: 0;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.section-break { page-break-before: always;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.exam-box { break-inside: avoid; 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}</w:t>
      </w:r>
    </w:p>
    <w:p>
      <w:pPr>
        <w:spacing w:after="120"/>
        <w:ind w:firstLine="425"/>
      </w:pPr>
      <w:r>
        <w:rPr>
          <w:rFonts w:ascii="Microsoft YaHei" w:hAnsi="Microsoft YaHei" w:eastAsia="Microsoft YaHei"/>
        </w:rPr>
        <w:t>@page :first { margin-top: 0; }</w:t>
      </w:r>
    </w:p>
    <w:p>
      <w:pPr>
        <w:spacing w:after="120"/>
        <w:jc w:val="center"/>
      </w:pPr>
      <w:r>
        <w:rPr>
          <w:rFonts w:ascii="Microsoft YaHei" w:hAnsi="Microsoft YaHei" w:eastAsia="Microsoft YaHei"/>
          <w:b/>
          <w:color w:val="1A5276"/>
          <w:sz w:val="44"/>
        </w:rPr>
        <w:t>📊 数据专员培训 &amp; 数据主题课程</w:t>
      </w:r>
    </w:p>
    <w:p>
      <w:r>
        <w:br w:type="page"/>
      </w:r>
    </w:p>
    <w:p>
      <w:pPr>
        <w:spacing w:after="200" w:before="360"/>
      </w:pPr>
      <w:r>
        <w:rPr>
          <w:rFonts w:ascii="Microsoft YaHei" w:hAnsi="Microsoft YaHei" w:eastAsia="Microsoft YaHei"/>
          <w:b/>
          <w:color w:val="2C3E50"/>
          <w:sz w:val="32"/>
        </w:rPr>
        <w:t>数据专员培训 &amp;amp; 数据主题课程 — 知识点汇总</w:t>
      </w:r>
    </w:p>
    <w:p>
      <w:pPr>
        <w:pStyle w:val="Heading2"/>
      </w:pPr>
      <w:r>
        <w:rPr>
          <w:rFonts w:ascii="Microsoft YaHei" w:hAnsi="Microsoft YaHei" w:eastAsia="Microsoft YaHei"/>
        </w:rPr>
        <w:t>第一部分：组织架构与业务运营</w:t>
      </w:r>
    </w:p>
    <w:p>
      <w:pPr>
        <w:pStyle w:val="Heading3"/>
      </w:pPr>
      <w:r>
        <w:rPr>
          <w:rFonts w:ascii="Microsoft YaHei" w:hAnsi="Microsoft YaHei" w:eastAsia="Microsoft YaHei"/>
        </w:rPr>
        <w:t>1.1 新东方集团概况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成立时间：1993年11月16日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业务板块（9大板块）：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规模（截至2023年2月）：78个城市、748家学校及学习中心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太原学校：2005年成立，1200+员工，三大部门（高中班级部、高中1对1部、青少部），39个教学点</w:t>
      </w:r>
    </w:p>
    <w:p>
      <w:pPr>
        <w:pStyle w:val="Heading3"/>
      </w:pPr>
      <w:r>
        <w:rPr>
          <w:rFonts w:ascii="Microsoft YaHei" w:hAnsi="Microsoft YaHei" w:eastAsia="Microsoft YaHei"/>
        </w:rPr>
        <w:t>1.2 学校组织架构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前台（业务发展）：青少部、高中班级、高中个性化、文旅研学、其他业务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中台（内外客户）：课程服务部（客服组/教务组）、市场营销部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后台（组织保障）：综合行政部（资产/信息/校办）、财务管理部、人力资源部</w:t>
      </w:r>
    </w:p>
    <w:p>
      <w:pPr>
        <w:pStyle w:val="Heading3"/>
      </w:pPr>
      <w:r>
        <w:rPr>
          <w:rFonts w:ascii="Microsoft YaHei" w:hAnsi="Microsoft YaHei" w:eastAsia="Microsoft YaHei"/>
        </w:rPr>
        <w:t>1.3 客户旅程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市场宣传（收资源）→ 学业规划师（促转化）→ 学习管理师 + 授课老师（保效果）→ 转介绍/再报名（传口碑）</w:t>
      </w:r>
    </w:p>
    <w:p>
      <w:pPr>
        <w:pStyle w:val="Heading2"/>
      </w:pPr>
      <w:r>
        <w:rPr>
          <w:rFonts w:ascii="Microsoft YaHei" w:hAnsi="Microsoft YaHei" w:eastAsia="Microsoft YaHei"/>
        </w:rPr>
        <w:t>第二部分：财务与经营指标</w:t>
      </w:r>
    </w:p>
    <w:p>
      <w:pPr>
        <w:pStyle w:val="Heading3"/>
      </w:pPr>
      <w:r>
        <w:rPr>
          <w:rFonts w:ascii="Microsoft YaHei" w:hAnsi="Microsoft YaHei" w:eastAsia="Microsoft YaHei"/>
        </w:rPr>
        <w:t>2.1 利润指标维度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培训收入 = 班课收入 + 一对一收入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班课收入拆解：结转收入 = 在读人头 × 生均小时 × 结转单价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一对一收入拆解：结转收入 = 现金流收入 × 结转率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成本结构：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利润 = 培训收入 - 人力成本 - 主营业务成本 - 间接费用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利润率 = 利润额 ÷ 培训收入</w:t>
      </w:r>
    </w:p>
    <w:p>
      <w:pPr>
        <w:pStyle w:val="Heading3"/>
      </w:pPr>
      <w:r>
        <w:rPr>
          <w:rFonts w:ascii="Microsoft YaHei" w:hAnsi="Microsoft YaHei" w:eastAsia="Microsoft YaHei"/>
        </w:rPr>
        <w:t>2.2 太原学校经营数据（5年招生趋势）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双减影响：FY23总人次同比下降32%，暑假入口人次下降54%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业务复苏：FY24总人次同比增长54%，暑假入口人次增长125%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稳健增长：FY25增长36%，FY26增长14%，增速回归稳健</w:t>
      </w:r>
    </w:p>
    <w:p>
      <w:pPr>
        <w:pStyle w:val="Heading2"/>
      </w:pPr>
      <w:r>
        <w:rPr>
          <w:rFonts w:ascii="Microsoft YaHei" w:hAnsi="Microsoft YaHei" w:eastAsia="Microsoft YaHei"/>
        </w:rPr>
        <w:t>第三部分：校区资产与人力数据</w:t>
      </w:r>
    </w:p>
    <w:p>
      <w:pPr>
        <w:pStyle w:val="Heading3"/>
      </w:pPr>
      <w:r>
        <w:rPr>
          <w:rFonts w:ascii="Microsoft YaHei" w:hAnsi="Microsoft YaHei" w:eastAsia="Microsoft YaHei"/>
        </w:rPr>
        <w:t>3.1 校区面积管理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双减阶段（FY22）：校区面积从6.2万平减至3.1万平（-50%）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结构性复苏（FY23-FY26）：</w:t>
      </w:r>
    </w:p>
    <w:p>
      <w:pPr>
        <w:pStyle w:val="Heading3"/>
      </w:pPr>
      <w:r>
        <w:rPr>
          <w:rFonts w:ascii="Microsoft YaHei" w:hAnsi="Microsoft YaHei" w:eastAsia="Microsoft YaHei"/>
        </w:rPr>
        <w:t>3.2 编制管理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FY24：收入增速46% VS 编制增速51%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FY25：收入增速31% VS 编制增速23%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FY26：收入进入稳健增长期，严格执行冗余资源管控</w:t>
      </w:r>
    </w:p>
    <w:p>
      <w:pPr>
        <w:pStyle w:val="Heading2"/>
      </w:pPr>
      <w:r>
        <w:rPr>
          <w:rFonts w:ascii="Microsoft YaHei" w:hAnsi="Microsoft YaHei" w:eastAsia="Microsoft YaHei"/>
        </w:rPr>
        <w:t>第四部分：数据标化</w:t>
      </w:r>
    </w:p>
    <w:p>
      <w:pPr>
        <w:pStyle w:val="Heading3"/>
      </w:pPr>
      <w:r>
        <w:rPr>
          <w:rFonts w:ascii="Microsoft YaHei" w:hAnsi="Microsoft YaHei" w:eastAsia="Microsoft YaHei"/>
        </w:rPr>
        <w:t>4.1 ERP系统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班课系统：固定时间、多人上课、高性价比 → 班级编码、听课证号、学员编码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高端系统：时间/科目/教师定制 → 课时包编码、合同编码、学员编码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会员卡系统：自主学习、线上学习、答疑服务 → 会员卡号、学习小组、会员子卡、学员编码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课时包系统：流程简单、培养爱好 → 课时包、班级编码、听课证号、学员编码</w:t>
      </w:r>
    </w:p>
    <w:p>
      <w:pPr>
        <w:pStyle w:val="Heading3"/>
      </w:pPr>
      <w:r>
        <w:rPr>
          <w:rFonts w:ascii="Microsoft YaHei" w:hAnsi="Microsoft YaHei" w:eastAsia="Microsoft YaHei"/>
        </w:rPr>
        <w:t>4.2 标化数据集</w:t>
      </w:r>
    </w:p>
    <w:p>
      <w:pPr>
        <w:spacing w:after="120"/>
      </w:pPr>
      <w:r>
        <w:rPr>
          <w:rFonts w:ascii="Microsoft YaHei" w:hAnsi="Microsoft YaHei" w:eastAsia="Microsoft YaHei"/>
          <w:b/>
        </w:rPr>
        <w:t>班级拼接表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业务模式：按产品设置规则区分业务条线（素养、纯学习机、学习机托管等）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财务模式：与集团财务命名保持一致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核心字段：班级编码、班级名称、班级状态、产品体系、管理项目、标准部门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标签字段：</w:t>
      </w:r>
    </w:p>
    <w:p>
      <w:pPr>
        <w:spacing w:after="120"/>
      </w:pPr>
      <w:r>
        <w:rPr>
          <w:rFonts w:ascii="Microsoft YaHei" w:hAnsi="Microsoft YaHei" w:eastAsia="Microsoft YaHei"/>
          <w:b/>
        </w:rPr>
        <w:t>花名册拼接明细表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进班/离班自然月、财月、财季、财年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开课前流失标志（实际缴费课次≤0，且同季度同科目无有效在班记录）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开课后流失标志（实际缴费课次&amp;gt;0，且同季度同科目无有效在班记录）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开课前退费/开课后退费</w:t>
      </w:r>
    </w:p>
    <w:p>
      <w:pPr>
        <w:spacing w:after="120"/>
      </w:pPr>
      <w:r>
        <w:rPr>
          <w:rFonts w:ascii="Microsoft YaHei" w:hAnsi="Microsoft YaHei" w:eastAsia="Microsoft YaHei"/>
          <w:b/>
        </w:rPr>
        <w:t>在读拼接表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结转开始月、结转结束月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学员在读日期对应的自然月/自然年/财月/财季/财年</w:t>
      </w:r>
    </w:p>
    <w:p>
      <w:pPr>
        <w:spacing w:after="120"/>
      </w:pPr>
      <w:r>
        <w:rPr>
          <w:rFonts w:ascii="Microsoft YaHei" w:hAnsi="Microsoft YaHei" w:eastAsia="Microsoft YaHei"/>
          <w:b/>
        </w:rPr>
        <w:t>收入拼接表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收入类型：现金收入、预计结转收入、结转收入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自然月/自然年/财月/财季/财年</w:t>
      </w:r>
    </w:p>
    <w:p>
      <w:pPr>
        <w:spacing w:after="120"/>
      </w:pPr>
      <w:r>
        <w:rPr>
          <w:rFonts w:ascii="Microsoft YaHei" w:hAnsi="Microsoft YaHei" w:eastAsia="Microsoft YaHei"/>
          <w:b/>
        </w:rPr>
        <w:t>留存续费扩科宽表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多季联报最晚结课班级编码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原班联报班级最晚结课日期/自然月/财月/财季/财年</w:t>
      </w:r>
    </w:p>
    <w:p>
      <w:pPr>
        <w:pStyle w:val="Heading2"/>
      </w:pPr>
      <w:r>
        <w:rPr>
          <w:rFonts w:ascii="Microsoft YaHei" w:hAnsi="Microsoft YaHei" w:eastAsia="Microsoft YaHei"/>
        </w:rPr>
        <w:t>第五部分：收入指标</w:t>
      </w:r>
    </w:p>
    <w:p>
      <w:pPr>
        <w:pStyle w:val="Heading3"/>
      </w:pPr>
      <w:r>
        <w:rPr>
          <w:rFonts w:ascii="Microsoft YaHei" w:hAnsi="Microsoft YaHei" w:eastAsia="Microsoft YaHei"/>
        </w:rPr>
        <w:t>5.1 现金收入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定义：某订单内产生的全部费用（含所有关联班级）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公式：现金收入 = 收入金额 - 退费金额（按订单汇总）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时间维度：下单时间、首个开课班级开课日期、下单财季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场景：顾问端的签单收入</w:t>
      </w:r>
    </w:p>
    <w:p>
      <w:pPr>
        <w:pStyle w:val="Heading3"/>
      </w:pPr>
      <w:r>
        <w:rPr>
          <w:rFonts w:ascii="Microsoft YaHei" w:hAnsi="Microsoft YaHei" w:eastAsia="Microsoft YaHei"/>
        </w:rPr>
        <w:t>5.2 开课收入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定义：某个班级内产生的全部费用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公式：开课收入 = 现金收入A = 收入金额A - 退费金额A（按班级汇总）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时间维度：下单时间、班级开课日期、下单财季、班级归属业务季度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场景：教学端每个班级的招生收入</w:t>
      </w:r>
    </w:p>
    <w:p>
      <w:pPr>
        <w:pStyle w:val="Heading3"/>
      </w:pPr>
      <w:r>
        <w:rPr>
          <w:rFonts w:ascii="Microsoft YaHei" w:hAnsi="Microsoft YaHei" w:eastAsia="Microsoft YaHei"/>
        </w:rPr>
        <w:t>5.3 预计结转收入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定义：班级在行课财周/月/季内产生的税前或税后结转收入，包含未实际结转的收入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计算：按财务规定的预计结转计算规则汇总求和</w:t>
      </w:r>
    </w:p>
    <w:p>
      <w:pPr>
        <w:pStyle w:val="Heading3"/>
      </w:pPr>
      <w:r>
        <w:rPr>
          <w:rFonts w:ascii="Microsoft YaHei" w:hAnsi="Microsoft YaHei" w:eastAsia="Microsoft YaHei"/>
        </w:rPr>
        <w:t>5.4 结转收入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定义：班级在行课财周/月/季内实际产生的税前或税后结转收入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计算：与预计结转收入计算规则相同，但仅计算已过时间周期内的收入</w:t>
      </w:r>
    </w:p>
    <w:p>
      <w:pPr>
        <w:pStyle w:val="Heading3"/>
      </w:pPr>
      <w:r>
        <w:rPr>
          <w:rFonts w:ascii="Microsoft YaHei" w:hAnsi="Microsoft YaHei" w:eastAsia="Microsoft YaHei"/>
        </w:rPr>
        <w:t>5.5 实际缴费金额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公式：应报名收入 - 实际优惠金额（退费则计为0）</w:t>
      </w:r>
    </w:p>
    <w:p>
      <w:pPr>
        <w:pStyle w:val="Heading3"/>
      </w:pPr>
      <w:r>
        <w:rPr>
          <w:rFonts w:ascii="Microsoft YaHei" w:hAnsi="Microsoft YaHei" w:eastAsia="Microsoft YaHei"/>
        </w:rPr>
        <w:t>5.6 实际消费金额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公式：实际缴费金额 - 实际退费金额</w:t>
      </w:r>
    </w:p>
    <w:p>
      <w:pPr>
        <w:pStyle w:val="Heading3"/>
      </w:pPr>
      <w:r>
        <w:rPr>
          <w:rFonts w:ascii="Microsoft YaHei" w:hAnsi="Microsoft YaHei" w:eastAsia="Microsoft YaHei"/>
        </w:rPr>
        <w:t>5.7 实收小时单价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公式：实际消费金额 ÷ [(班级预计时长÷60) × (实际上课课次÷班级课次)]</w:t>
      </w:r>
    </w:p>
    <w:p>
      <w:pPr>
        <w:pStyle w:val="Heading2"/>
      </w:pPr>
      <w:r>
        <w:rPr>
          <w:rFonts w:ascii="Microsoft YaHei" w:hAnsi="Microsoft YaHei" w:eastAsia="Microsoft YaHei"/>
        </w:rPr>
        <w:t>第六部分：招生指标</w:t>
      </w:r>
    </w:p>
    <w:p>
      <w:pPr>
        <w:pStyle w:val="Heading3"/>
      </w:pPr>
      <w:r>
        <w:rPr>
          <w:rFonts w:ascii="Microsoft YaHei" w:hAnsi="Microsoft YaHei" w:eastAsia="Microsoft YaHei"/>
        </w:rPr>
        <w:t>6.1 核心算法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班级维度人次：非一对一按听课证号去重，一对一按学员编码去重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汇总维度人次：非一对一按(学员编码+科目)去重，一对一按学员编码去重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人数：按学员编码去重计数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数据范围：仅常规体系班级，会员卡不含体验卡，一对一不含定金/升年级/赠送</w:t>
      </w:r>
    </w:p>
    <w:p>
      <w:pPr>
        <w:pStyle w:val="Heading3"/>
      </w:pPr>
      <w:r>
        <w:rPr>
          <w:rFonts w:ascii="Microsoft YaHei" w:hAnsi="Microsoft YaHei" w:eastAsia="Microsoft YaHei"/>
        </w:rPr>
        <w:t>6.2 报名人次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定义：以是否产生报名动作判断学员是否有效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时间维度：进班日期、进班财月、进班财季</w:t>
      </w:r>
    </w:p>
    <w:p>
      <w:pPr>
        <w:pStyle w:val="Heading3"/>
      </w:pPr>
      <w:r>
        <w:rPr>
          <w:rFonts w:ascii="Microsoft YaHei" w:hAnsi="Microsoft YaHei" w:eastAsia="Microsoft YaHei"/>
        </w:rPr>
        <w:t>6.3 开课人次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定义：某业务季度内开课班级的当前有效报名人次（在班状态为有效）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时间维度：业务季度、业务归属年</w:t>
      </w:r>
    </w:p>
    <w:p>
      <w:pPr>
        <w:pStyle w:val="Heading3"/>
      </w:pPr>
      <w:r>
        <w:rPr>
          <w:rFonts w:ascii="Microsoft YaHei" w:hAnsi="Microsoft YaHei" w:eastAsia="Microsoft YaHei"/>
        </w:rPr>
        <w:t>6.4 招生人次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定义：某季度某科目下当前有效报名人次（按汇总维度）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时间维度：业务季度、业务归属年</w:t>
      </w:r>
    </w:p>
    <w:p>
      <w:pPr>
        <w:pStyle w:val="Heading3"/>
      </w:pPr>
      <w:r>
        <w:rPr>
          <w:rFonts w:ascii="Microsoft YaHei" w:hAnsi="Microsoft YaHei" w:eastAsia="Microsoft YaHei"/>
        </w:rPr>
        <w:t>6.5 在读人次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定义：某段日期范围内有实际行课的学员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判断方法：行课开始=学员进班日期与实际开课日期的最晚值；行课结束=离班日期与实际结课日期的最早值</w:t>
      </w:r>
    </w:p>
    <w:p>
      <w:pPr>
        <w:pStyle w:val="Heading3"/>
      </w:pPr>
      <w:r>
        <w:rPr>
          <w:rFonts w:ascii="Microsoft YaHei" w:hAnsi="Microsoft YaHei" w:eastAsia="Microsoft YaHei"/>
        </w:rPr>
        <w:t>6.6 新生/老生人次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新生：首次报名或跨业务季度报名某科目（生源类型≠留存老生）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老生：连续业务季度报名某科目（生源类型=留存老生）</w:t>
      </w:r>
    </w:p>
    <w:p>
      <w:pPr>
        <w:pStyle w:val="Heading3"/>
      </w:pPr>
      <w:r>
        <w:rPr>
          <w:rFonts w:ascii="Microsoft YaHei" w:hAnsi="Microsoft YaHei" w:eastAsia="Microsoft YaHei"/>
        </w:rPr>
        <w:t>6.7 招生人次周进量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公式：本周进班人次 - 本周离班人次</w:t>
      </w:r>
    </w:p>
    <w:p>
      <w:pPr>
        <w:pStyle w:val="Heading2"/>
      </w:pPr>
      <w:r>
        <w:rPr>
          <w:rFonts w:ascii="Microsoft YaHei" w:hAnsi="Microsoft YaHei" w:eastAsia="Microsoft YaHei"/>
        </w:rPr>
        <w:t>第七部分：留存指标</w:t>
      </w:r>
    </w:p>
    <w:p>
      <w:pPr>
        <w:pStyle w:val="Heading3"/>
      </w:pPr>
      <w:r>
        <w:rPr>
          <w:rFonts w:ascii="Microsoft YaHei" w:hAnsi="Microsoft YaHei" w:eastAsia="Microsoft YaHei"/>
        </w:rPr>
        <w:t>7.1 开课前流失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条件：退费学员，同业务季度同科目无其他常规体系有效记录，且实际缴费课次≤0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开课前流失率 = 开课前流失人次 ÷ (开课前流失+开课后流失+招生人次)</w:t>
      </w:r>
    </w:p>
    <w:p>
      <w:pPr>
        <w:pStyle w:val="Heading3"/>
      </w:pPr>
      <w:r>
        <w:rPr>
          <w:rFonts w:ascii="Microsoft YaHei" w:hAnsi="Microsoft YaHei" w:eastAsia="Microsoft YaHei"/>
        </w:rPr>
        <w:t>7.2 开课后流失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条件：退费学员，同业务季度同科目无其他有效记录，且实际缴费课次&amp;gt;0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开课后流失率 = 开课后流失人次 ÷ (开课后流失人次 + 招生人次)</w:t>
      </w:r>
    </w:p>
    <w:p>
      <w:pPr>
        <w:pStyle w:val="Heading3"/>
      </w:pPr>
      <w:r>
        <w:rPr>
          <w:rFonts w:ascii="Microsoft YaHei" w:hAnsi="Microsoft YaHei" w:eastAsia="Microsoft YaHei"/>
        </w:rPr>
        <w:t>7.3 留存率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原班人次：行课且实际缴费课次&amp;gt;0的学员，按科目+学员编码去重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留存人次：原班学员中，续报下一连续季度同科目班级的学员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留存率 = 留存人次 ÷ 原班人次</w:t>
      </w:r>
    </w:p>
    <w:p>
      <w:pPr>
        <w:pStyle w:val="Heading3"/>
      </w:pPr>
      <w:r>
        <w:rPr>
          <w:rFonts w:ascii="Microsoft YaHei" w:hAnsi="Microsoft YaHei" w:eastAsia="Microsoft YaHei"/>
        </w:rPr>
        <w:t>7.4 续费率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应续费人次：本季度班级结课学员（单季度）或联报中最晚结课班级所在业务季度的学员（联报）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已续费人次：续读到下一连续业务季度同科目班级/会员卡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续费率 = 续费人次 ÷ 应续费人次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多季联报：同一订单报名多个连续季度班级，或同一天报名，或首班开课前报名多个季度</w:t>
      </w:r>
    </w:p>
    <w:p>
      <w:pPr>
        <w:pStyle w:val="Heading2"/>
      </w:pPr>
      <w:r>
        <w:rPr>
          <w:rFonts w:ascii="Microsoft YaHei" w:hAnsi="Microsoft YaHei" w:eastAsia="Microsoft YaHei"/>
        </w:rPr>
        <w:t>第八部分：产能指标</w:t>
      </w:r>
    </w:p>
    <w:p>
      <w:pPr>
        <w:pStyle w:val="Heading3"/>
      </w:pPr>
      <w:r>
        <w:rPr>
          <w:rFonts w:ascii="Microsoft YaHei" w:hAnsi="Microsoft YaHei" w:eastAsia="Microsoft YaHei"/>
        </w:rPr>
        <w:t>8.1 实际开班量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规则：不含0人班/取消/未审核；完全合班算1个；子母仅统计母班；上下册仅统计长段</w:t>
      </w:r>
    </w:p>
    <w:p>
      <w:pPr>
        <w:pStyle w:val="Heading3"/>
      </w:pPr>
      <w:r>
        <w:rPr>
          <w:rFonts w:ascii="Microsoft YaHei" w:hAnsi="Microsoft YaHei" w:eastAsia="Microsoft YaHei"/>
        </w:rPr>
        <w:t>8.2 预招人次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未超售按标准人数，已超售按当前人数</w:t>
      </w:r>
    </w:p>
    <w:p>
      <w:pPr>
        <w:pStyle w:val="Heading3"/>
      </w:pPr>
      <w:r>
        <w:rPr>
          <w:rFonts w:ascii="Microsoft YaHei" w:hAnsi="Microsoft YaHei" w:eastAsia="Microsoft YaHei"/>
        </w:rPr>
        <w:t>8.3 班均人数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开课人次 ÷ 实开班级数量</w:t>
      </w:r>
    </w:p>
    <w:p>
      <w:pPr>
        <w:pStyle w:val="Heading3"/>
      </w:pPr>
      <w:r>
        <w:rPr>
          <w:rFonts w:ascii="Microsoft YaHei" w:hAnsi="Microsoft YaHei" w:eastAsia="Microsoft YaHei"/>
        </w:rPr>
        <w:t>8.4 满班率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开课人次 ÷ 预招人次</w:t>
      </w:r>
    </w:p>
    <w:p>
      <w:pPr>
        <w:pStyle w:val="Heading3"/>
      </w:pPr>
      <w:r>
        <w:rPr>
          <w:rFonts w:ascii="Microsoft YaHei" w:hAnsi="Microsoft YaHei" w:eastAsia="Microsoft YaHei"/>
        </w:rPr>
        <w:t>8.5 教师产能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带课教师人数：排过课的教师，不含当季入职/离职/三期教师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教师带课量：配课表课时按财季加总（不含录播课，合班算一次）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师均带课量 = 教师带课量 ÷ 带课教师人数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教师带课量中位数：按带课量排序取中间值</w:t>
      </w:r>
    </w:p>
    <w:p>
      <w:pPr>
        <w:pStyle w:val="Heading3"/>
      </w:pPr>
      <w:r>
        <w:rPr>
          <w:rFonts w:ascii="Microsoft YaHei" w:hAnsi="Microsoft YaHei" w:eastAsia="Microsoft YaHei"/>
        </w:rPr>
        <w:t>8.6 教室产能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教室课量：可用教室已承载/预计承载课量（不含线上课）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教室可用小时数：正常使用教室，平时2小时/节假日10小时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教室使用率 = 教室课量 ÷ 教室可用小时数</w:t>
      </w:r>
    </w:p>
    <w:p>
      <w:pPr>
        <w:pStyle w:val="Heading2"/>
      </w:pPr>
      <w:r>
        <w:rPr>
          <w:rFonts w:ascii="Microsoft YaHei" w:hAnsi="Microsoft YaHei" w:eastAsia="Microsoft YaHei"/>
        </w:rPr>
        <w:t>第九部分：数据产品</w:t>
      </w:r>
    </w:p>
    <w:p>
      <w:pPr>
        <w:pStyle w:val="Heading3"/>
      </w:pPr>
      <w:r>
        <w:rPr>
          <w:rFonts w:ascii="Microsoft YaHei" w:hAnsi="Microsoft YaHei" w:eastAsia="Microsoft YaHei"/>
        </w:rPr>
        <w:t>9.1 大屏产品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实时续费大屏 → 会员卡续费大屏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招新大屏 → 招新数据大屏</w:t>
      </w:r>
    </w:p>
    <w:p>
      <w:pPr>
        <w:pStyle w:val="Heading3"/>
      </w:pPr>
      <w:r>
        <w:rPr>
          <w:rFonts w:ascii="Microsoft YaHei" w:hAnsi="Microsoft YaHei" w:eastAsia="Microsoft YaHei"/>
        </w:rPr>
        <w:t>9.2 管理报表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校长运营管理驾驶舱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BR集团标化报表 → 业绩进展、驾驶舱</w:t>
      </w:r>
    </w:p>
    <w:p>
      <w:pPr>
        <w:pStyle w:val="Heading2"/>
      </w:pPr>
      <w:r>
        <w:rPr>
          <w:rFonts w:ascii="Microsoft YaHei" w:hAnsi="Microsoft YaHei" w:eastAsia="Microsoft YaHei"/>
        </w:rPr>
        <w:t>第十部分：数据分析方法</w:t>
      </w:r>
    </w:p>
    <w:p>
      <w:pPr>
        <w:pStyle w:val="Heading3"/>
      </w:pPr>
      <w:r>
        <w:rPr>
          <w:rFonts w:ascii="Microsoft YaHei" w:hAnsi="Microsoft YaHei" w:eastAsia="Microsoft YaHei"/>
        </w:rPr>
        <w:t>10.1 数据分析步骤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确定分析目的：指标与维度（时间、新老用户、年级、科目、渠道）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数据获取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数据分析：对比细分、生命周期分析、漏斗分析、相关性分析、5W2H、逻辑树、RFM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结果可视化："文不如表，表不如图"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总结与建议</w:t>
      </w:r>
    </w:p>
    <w:p>
      <w:pPr>
        <w:pStyle w:val="Heading3"/>
      </w:pPr>
      <w:r>
        <w:rPr>
          <w:rFonts w:ascii="Microsoft YaHei" w:hAnsi="Microsoft YaHei" w:eastAsia="Microsoft YaHei"/>
        </w:rPr>
        <w:t>10.2 对比细分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多维度（时间/用户/地区/构成）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与上周、上季度、去年同期对比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保证单一变量原则</w:t>
      </w:r>
    </w:p>
    <w:p>
      <w:pPr>
        <w:pStyle w:val="Heading3"/>
      </w:pPr>
      <w:r>
        <w:rPr>
          <w:rFonts w:ascii="Microsoft YaHei" w:hAnsi="Microsoft YaHei" w:eastAsia="Microsoft YaHei"/>
        </w:rPr>
        <w:t>10.3 生命周期分析法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分位数法：首次退费到再次报名间隔天数的90分位值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拐点法：观察留存在第几周趋于稳定</w:t>
      </w:r>
    </w:p>
    <w:p>
      <w:pPr>
        <w:pStyle w:val="Heading3"/>
      </w:pPr>
      <w:r>
        <w:rPr>
          <w:rFonts w:ascii="Microsoft YaHei" w:hAnsi="Microsoft YaHei" w:eastAsia="Microsoft YaHei"/>
        </w:rPr>
        <w:t>10.4 RFM用户分群法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R（Recency）：最后一次付费距今天数 → 消费习惯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F（Frequency）：付费频次 → 消费意愿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M（Monetary）：付费金额 → 消费能力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分群矩阵：重要价值/重要召回/重要发展/重要挽留/潜力/一般维护/新用户/流失</w:t>
      </w:r>
    </w:p>
    <w:p>
      <w:pPr>
        <w:pStyle w:val="Heading3"/>
      </w:pPr>
      <w:r>
        <w:rPr>
          <w:rFonts w:ascii="Microsoft YaHei" w:hAnsi="Microsoft YaHei" w:eastAsia="Microsoft YaHei"/>
        </w:rPr>
        <w:t>10.5 相关性分析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正相关：|R|&amp;gt;0.95显著，|R|≥0.8高度，0.5≤|R|&amp;lt;0.8中度，0.3≤|R|&amp;lt;0.5低度，|R|&amp;lt;0.3极弱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负相关：R&amp;lt;0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无线性关系：R=0</w:t>
      </w:r>
    </w:p>
    <w:p>
      <w:pPr>
        <w:pStyle w:val="Heading3"/>
      </w:pPr>
      <w:r>
        <w:rPr>
          <w:rFonts w:ascii="Microsoft YaHei" w:hAnsi="Microsoft YaHei" w:eastAsia="Microsoft YaHei"/>
        </w:rPr>
        <w:t>10.6 麦肯锡逻辑树分析法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拆分原则：要素化（归纳相同问题）、框架化（不重不漏MECE）、关联化（保持相互关系）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示例：提升学员规模 = 增加招新 + 降低流失</w:t>
      </w:r>
    </w:p>
    <w:p>
      <w:pPr>
        <w:pStyle w:val="Heading3"/>
      </w:pPr>
      <w:r>
        <w:rPr>
          <w:rFonts w:ascii="Microsoft YaHei" w:hAnsi="Microsoft YaHei" w:eastAsia="Microsoft YaHei"/>
        </w:rPr>
        <w:t>10.7 漏斗分析法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直观呈现用户行为各步骤之间的转化率</w:t>
      </w:r>
    </w:p>
    <w:p>
      <w:pPr>
        <w:spacing w:after="200" w:before="360"/>
      </w:pPr>
      <w:r>
        <w:rPr>
          <w:rFonts w:ascii="Microsoft YaHei" w:hAnsi="Microsoft YaHei" w:eastAsia="Microsoft YaHei"/>
          <w:b/>
          <w:color w:val="2C3E50"/>
          <w:sz w:val="32"/>
        </w:rPr>
        <w:t>模拟考题（10题）</w:t>
      </w:r>
    </w:p>
    <w:p>
      <w:pPr>
        <w:pStyle w:val="Heading2"/>
      </w:pPr>
      <w:r>
        <w:rPr>
          <w:rFonts w:ascii="Microsoft YaHei" w:hAnsi="Microsoft YaHei" w:eastAsia="Microsoft YaHei"/>
        </w:rPr>
        <w:t>题目1：招生人次计算 - 暑假班级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FY23Q4有2名学员A和B以正价报入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FY23Q4有1名学员C以定金形式报入计费体系班级，FY24Q1正式转入正价班级A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FY24Q1有3名学员E、F、G以正价报入，但学员G在开课后退班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1. 分别计算班级A在FY23Q4和FY24Q1的报名人次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2. 计算班级A在FY24Q1的开课人次</w:t>
      </w:r>
    </w:p>
    <w:p>
      <w:pPr>
        <w:pStyle w:val="Heading2"/>
      </w:pPr>
      <w:r>
        <w:rPr>
          <w:rFonts w:ascii="Microsoft YaHei" w:hAnsi="Microsoft YaHei" w:eastAsia="Microsoft YaHei"/>
        </w:rPr>
        <w:t>题目2：在读人次计算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1. 计算该班级在Q4财季（3月-5月）和Q1财季（6月-8月）内的在读人次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2. 计算该班级春季业务季度内的在读人次</w:t>
      </w:r>
    </w:p>
    <w:p>
      <w:pPr>
        <w:pStyle w:val="Heading2"/>
      </w:pPr>
      <w:r>
        <w:rPr>
          <w:rFonts w:ascii="Microsoft YaHei" w:hAnsi="Microsoft YaHei" w:eastAsia="Microsoft YaHei"/>
        </w:rPr>
        <w:t>题目3：收入计算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学员A和B在FY23Q4报名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学员B在FY24Q1全额退款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其余学员在FY24Q1报名且未退费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1. 求该班级在FY23Q4和FY24Q1的现金收入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2. 求该暑假班级的开课收入</w:t>
      </w:r>
    </w:p>
    <w:p>
      <w:pPr>
        <w:pStyle w:val="Heading2"/>
      </w:pPr>
      <w:r>
        <w:rPr>
          <w:rFonts w:ascii="Microsoft YaHei" w:hAnsi="Microsoft YaHei" w:eastAsia="Microsoft YaHei"/>
        </w:rPr>
        <w:t>题目4：实收小时单价计算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学员A：开课前报名，全程未退费，实际消费金额800元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学员B：第3次课插班报名，报名后未退费，实际消费金额500元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学员C：开课前报名，行课至剩余2课次时退费，实际消费金额600元</w:t>
      </w:r>
    </w:p>
    <w:p>
      <w:pPr>
        <w:pStyle w:val="Heading2"/>
      </w:pPr>
      <w:r>
        <w:rPr>
          <w:rFonts w:ascii="Microsoft YaHei" w:hAnsi="Microsoft YaHei" w:eastAsia="Microsoft YaHei"/>
        </w:rPr>
        <w:t>题目5：续费率计算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300名学员续费到20242秋季同科目班级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50名学员续费到不同科目班级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其余学员未续费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1. 计算该暑假季度的续费率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2. 如果多季联报的学员中有80人原本是联报（已在联报时完成续费），他们是否计入续费人次？为什么？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3. 假设上述80人联报学员也算作续费（即已续费人次变为380），续费率变为多少？</w:t>
      </w:r>
    </w:p>
    <w:p>
      <w:pPr>
        <w:pStyle w:val="Heading2"/>
      </w:pPr>
      <w:r>
        <w:rPr>
          <w:rFonts w:ascii="Microsoft YaHei" w:hAnsi="Microsoft YaHei" w:eastAsia="Microsoft YaHei"/>
        </w:rPr>
        <w:t>题目6：留存率与流失率计算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班级实际缴费课次&amp;gt;0的学员：800人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续报下一季度同科目班级的学员：600人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退费学员中，实际缴费课次≤0且无其他有效记录：50人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退费学员中，实际缴费课次&amp;gt;0且无其他有效记录：80人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1. 计算留存率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2. 计算开课前流失率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3. 计算开课后流失率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4. 开课前流失+开课后流失+招生人次是否等于原班人次？请验证。</w:t>
      </w:r>
    </w:p>
    <w:p>
      <w:pPr>
        <w:pStyle w:val="Heading2"/>
      </w:pPr>
      <w:r>
        <w:rPr>
          <w:rFonts w:ascii="Microsoft YaHei" w:hAnsi="Microsoft YaHei" w:eastAsia="Microsoft YaHei"/>
        </w:rPr>
        <w:t>题目7：招生人次周进量分析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1. 计算每周的招生人次周进量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2. 第4周相对于第1周，周进量下降了多少？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3. 如果你是数据分析师，面对第3周到第4周的趋势，你会从哪些维度做对比细分分析？</w:t>
      </w:r>
    </w:p>
    <w:p>
      <w:pPr>
        <w:pStyle w:val="Heading2"/>
      </w:pPr>
      <w:r>
        <w:rPr>
          <w:rFonts w:ascii="Microsoft YaHei" w:hAnsi="Microsoft YaHei" w:eastAsia="Microsoft YaHei"/>
        </w:rPr>
        <w:t>题目8：班均与满班率计算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实开班级数量：50个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开课人次：1,200人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预招人次（按标准人数计算）：1,500人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实际超售班级：有5个班级超售至各自的班级最大人数（超售总额外人数80人）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1. 计算班均人数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2. 计算满班率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3. 如果考虑超售因素，重新计算满班率（假设标准预招人次1,500中未包含超售人数）</w:t>
      </w:r>
    </w:p>
    <w:p>
      <w:pPr>
        <w:pStyle w:val="Heading2"/>
      </w:pPr>
      <w:r>
        <w:rPr>
          <w:rFonts w:ascii="Microsoft YaHei" w:hAnsi="Microsoft YaHei" w:eastAsia="Microsoft YaHei"/>
        </w:rPr>
        <w:t>题目9：相关性分析与逻辑树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学员出勤率与留存率的相关系数 R = 0.82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学员NPS评分与留存率的相关系数 R = 0.45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• 退费天数与留存率的相关系数 R = -0.35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1. 分别说明上述三个变量与留存率的相关性强度和方向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2. 使用逻辑树分析法，分解"提升学员留存率"这个目标，至少列出3个二级拆分维度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3. 如果出勤率和留存率高度相关，你建议校区优先从哪个方向入手？</w:t>
      </w:r>
    </w:p>
    <w:p>
      <w:pPr>
        <w:pStyle w:val="Heading2"/>
      </w:pPr>
      <w:r>
        <w:rPr>
          <w:rFonts w:ascii="Microsoft YaHei" w:hAnsi="Microsoft YaHei" w:eastAsia="Microsoft YaHei"/>
        </w:rPr>
        <w:t>题目10：综合数据分析 - 校区经营诊断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1. 计算FY26暑假的班均人数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2. 计算师均带课量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3. 计算教室使用率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4. 对比FY24（班均44.3）、FY25（班均42.5）和FY26的班均趋势，说明该数据说明什么？</w:t>
      </w:r>
    </w:p>
    <w:p>
      <w:pPr>
        <w:spacing w:after="120"/>
        <w:ind w:left="567"/>
      </w:pPr>
      <w:r>
        <w:rPr>
          <w:rFonts w:ascii="Microsoft YaHei" w:hAnsi="Microsoft YaHei" w:eastAsia="Microsoft YaHei"/>
          <w:sz w:val="21"/>
        </w:rPr>
        <w:t>5. 如果下季度预算编制要求利润提升10%，利用逻辑树分析法，列出三条可能的提升路径（每条路径需包含具体指标）。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2C3E5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2C3E5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34495E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A5276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