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TargetMode="External"/></Relationships>
</file>

<file path=word/document.xml><?xml version="1.0" encoding="utf-8"?>
<w:document xmlns:w="http://schemas.openxmlformats.org/wordprocessingml/2006/main" xmlns:r="http://schemas.openxmlformats.org/officeDocument/2006/relationships">
  <w:body>
    <w:sectPr>
      <w:pgSz w:w="11906" w:h="16838"/>
      <w:pgMar w:top="1134" w:right="1134" w:bottom="1134" w:left="1134"/>
    </w:sectPr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jc w:val="center"/>
        <w:spacing w:before="600" w:after="200"/>
      </w:pPr>
      <w:r>
        <w:rPr>
          <w:rFonts w:eastAsia="微软雅黑" w:ascii="微软雅黑" w:hAnsi="微软雅黑"/>
          <w:sz w:val="48"/>
          <w:color w:val="1F3864"/>
          <w:b/>
        </w:rPr>
        <w:t xml:space="preserve">光伏场站算电一体化方案</w:t>
      </w:r>
    </w:p>
    <w:p>
      <w:pPr>
        <w:spacing w:before="0" w:after="0"/>
      </w:pPr>
    </w:p>
    <w:p>
      <w:pPr>
        <w:jc w:val="center"/>
        <w:spacing w:before="200" w:after="400"/>
      </w:pPr>
      <w:r>
        <w:rPr>
          <w:rFonts w:eastAsia="微软雅黑" w:ascii="微软雅黑" w:hAnsi="微软雅黑"/>
          <w:sz w:val="28"/>
          <w:color w:val="1F3864"/>
        </w:rPr>
        <w:t xml:space="preserve">(修正版)</w:t>
      </w:r>
    </w:p>
    <w:p>
      <w:pPr>
        <w:spacing w:before="0" w:after="0"/>
      </w:pPr>
    </w:p>
    <w:p>
      <w:pPr>
        <w:jc w:val="center"/>
        <w:spacing w:before="100" w:after="100"/>
      </w:pPr>
      <w:r>
        <w:rPr>
          <w:rFonts w:eastAsia="微软雅黑" w:ascii="微软雅黑" w:hAnsi="微软雅黑"/>
          <w:sz w:val="24"/>
          <w:color w:val="404040"/>
        </w:rPr>
        <w:t xml:space="preserve">——基于100MW光伏场站的可落地算力规划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jc w:val="center"/>
        <w:spacing w:before="0" w:after="200"/>
      </w:pPr>
      <w:r>
        <w:rPr>
          <w:rFonts w:eastAsia="微软雅黑" w:ascii="微软雅黑" w:hAnsi="微软雅黑"/>
          <w:sz w:val="22"/>
          <w:color w:val="808080"/>
        </w:rPr>
        <w:t xml:space="preserve">编制日期：2025年6月</w:t>
      </w:r>
    </w:p>
    <w:p>
      <w:pPr>
        <w:jc w:val="center"/>
        <w:spacing w:before="0" w:after="200"/>
      </w:pPr>
      <w:r>
        <w:rPr>
          <w:rFonts w:eastAsia="微软雅黑" w:ascii="微软雅黑" w:hAnsi="微软雅黑"/>
          <w:sz w:val="22"/>
          <w:color w:val="808080"/>
        </w:rPr>
        <w:t xml:space="preserve">版本：V2.0（数字逻辑修正版）</w:t>
      </w:r>
    </w:p>
    <w:p>
      <w:pPr>
        <w:spacing w:before="0" w:after="0"/>
      </w:pPr>
    </w:p>
    <w:p>
      <w:pPr>
        <w:spacing w:before="0" w:after="0"/>
      </w:pPr>
    </w:p>
    <w:p>
      <w:pPr>
        <w:jc w:val="center"/>
        <w:spacing w:before="300" w:after="200"/>
      </w:pPr>
      <w:r>
        <w:rPr>
          <w:rFonts w:eastAsia="微软雅黑" w:ascii="微软雅黑" w:hAnsi="微软雅黑"/>
          <w:sz w:val="28"/>
          <w:color w:val="1F3864"/>
          <w:b/>
        </w:rPr>
        <w:t xml:space="preserve">目  录</w:t>
      </w:r>
    </w:p>
    <w:p>
      <w:pPr>
        <w:spacing w:before="0" w:after="0"/>
      </w:pPr>
    </w:p>
    <w:p>
      <w:pPr>
        <w:jc w:val="left"/>
        <w:spacing w:before="40" w:after="40"/>
      </w:pPr>
      <w:r>
        <w:rPr>
          <w:rFonts w:eastAsia="微软雅黑" w:ascii="微软雅黑" w:hAnsi="微软雅黑"/>
          <w:sz w:val="22"/>
          <w:color w:val="1F3864"/>
        </w:rPr>
        <w:t xml:space="preserve">一、项目概况</w:t>
      </w:r>
    </w:p>
    <w:p>
      <w:pPr>
        <w:jc w:val="left"/>
        <w:spacing w:before="40" w:after="40"/>
      </w:pPr>
      <w:r>
        <w:rPr>
          <w:rFonts w:eastAsia="微软雅黑" w:ascii="微软雅黑" w:hAnsi="微软雅黑"/>
          <w:sz w:val="22"/>
          <w:color w:val="1F3864"/>
        </w:rPr>
        <w:t xml:space="preserve">二、光伏场站核心指标</w:t>
      </w:r>
    </w:p>
    <w:p>
      <w:pPr>
        <w:jc w:val="left"/>
        <w:spacing w:before="40" w:after="40"/>
      </w:pPr>
      <w:r>
        <w:rPr>
          <w:rFonts w:eastAsia="微软雅黑" w:ascii="微软雅黑" w:hAnsi="微软雅黑"/>
          <w:sz w:val="22"/>
          <w:color w:val="1F3864"/>
        </w:rPr>
        <w:t xml:space="preserve">三、算力业务规划</w:t>
      </w:r>
    </w:p>
    <w:p>
      <w:pPr>
        <w:jc w:val="left"/>
        <w:spacing w:before="40" w:after="40"/>
      </w:pPr>
      <w:r>
        <w:rPr>
          <w:rFonts w:eastAsia="微软雅黑" w:ascii="微软雅黑" w:hAnsi="微软雅黑"/>
          <w:sz w:val="22"/>
          <w:color w:val="1F3864"/>
        </w:rPr>
        <w:t xml:space="preserve">    3.1 对接垂直AI企业（百卡级训练服务）</w:t>
      </w:r>
    </w:p>
    <w:p>
      <w:pPr>
        <w:jc w:val="left"/>
        <w:spacing w:before="40" w:after="40"/>
      </w:pPr>
      <w:r>
        <w:rPr>
          <w:rFonts w:eastAsia="微软雅黑" w:ascii="微软雅黑" w:hAnsi="微软雅黑"/>
          <w:sz w:val="22"/>
          <w:color w:val="1F3864"/>
        </w:rPr>
        <w:t xml:space="preserve">    3.2 对接垂直AI企业（百卡级推理服务）</w:t>
      </w:r>
    </w:p>
    <w:p>
      <w:pPr>
        <w:jc w:val="left"/>
        <w:spacing w:before="40" w:after="40"/>
      </w:pPr>
      <w:r>
        <w:rPr>
          <w:rFonts w:eastAsia="微软雅黑" w:ascii="微软雅黑" w:hAnsi="微软雅黑"/>
          <w:sz w:val="22"/>
          <w:color w:val="1F3864"/>
        </w:rPr>
        <w:t xml:space="preserve">    3.3 算力商城/中小企业开发者服务</w:t>
      </w:r>
    </w:p>
    <w:p>
      <w:pPr>
        <w:jc w:val="left"/>
        <w:spacing w:before="40" w:after="40"/>
      </w:pPr>
      <w:r>
        <w:rPr>
          <w:rFonts w:eastAsia="微软雅黑" w:ascii="微软雅黑" w:hAnsi="微软雅黑"/>
          <w:sz w:val="22"/>
          <w:color w:val="1F3864"/>
        </w:rPr>
        <w:t xml:space="preserve">    3.4 万卡级规划（远期/绿电采购路线）</w:t>
      </w:r>
    </w:p>
    <w:p>
      <w:pPr>
        <w:jc w:val="left"/>
        <w:spacing w:before="40" w:after="40"/>
      </w:pPr>
      <w:r>
        <w:rPr>
          <w:rFonts w:eastAsia="微软雅黑" w:ascii="微软雅黑" w:hAnsi="微软雅黑"/>
          <w:sz w:val="22"/>
          <w:color w:val="1F3864"/>
        </w:rPr>
        <w:t xml:space="preserve">四、数字逻辑检核与修正说明</w:t>
      </w:r>
    </w:p>
    <w:p>
      <w:pPr>
        <w:jc w:val="left"/>
        <w:spacing w:before="40" w:after="40"/>
      </w:pPr>
      <w:r>
        <w:rPr>
          <w:rFonts w:eastAsia="微软雅黑" w:ascii="微软雅黑" w:hAnsi="微软雅黑"/>
          <w:sz w:val="22"/>
          <w:color w:val="1F3864"/>
        </w:rPr>
        <w:t xml:space="preserve">五、风险评估</w:t>
      </w:r>
    </w:p>
    <w:p>
      <w:pPr>
        <w:jc w:val="left"/>
        <w:spacing w:before="40" w:after="40"/>
      </w:pPr>
      <w:r>
        <w:rPr>
          <w:rFonts w:eastAsia="微软雅黑" w:ascii="微软雅黑" w:hAnsi="微软雅黑"/>
          <w:sz w:val="22"/>
          <w:color w:val="1F3864"/>
        </w:rPr>
        <w:t xml:space="preserve">六、建设流程</w:t>
      </w:r>
    </w:p>
    <w:p>
      <w:pPr>
        <w:jc w:val="left"/>
        <w:spacing w:before="40" w:after="40"/>
      </w:pPr>
      <w:r>
        <w:rPr>
          <w:rFonts w:eastAsia="微软雅黑" w:ascii="微软雅黑" w:hAnsi="微软雅黑"/>
          <w:sz w:val="22"/>
          <w:color w:val="1F3864"/>
        </w:rPr>
        <w:t xml:space="preserve">七、结论</w:t>
      </w:r>
    </w:p>
    <w:p>
      <w:pPr>
        <w:spacing w:before="0" w:after="0"/>
      </w:pPr>
    </w:p>
    <w:p>
      <w:pPr>
        <w:jc w:val="left"/>
        <w:spacing w:before="400" w:after="300"/>
      </w:pPr>
      <w:r>
        <w:rPr>
          <w:rFonts w:eastAsia="微软雅黑" w:ascii="微软雅黑" w:hAnsi="微软雅黑"/>
          <w:sz w:val="32"/>
          <w:color w:val="1F3864"/>
          <w:b/>
        </w:rPr>
        <w:t xml:space="preserve">一、项目概况</w:t>
      </w:r>
    </w:p>
    <w:p>
      <w:pPr>
        <w:jc w:val="left"/>
        <w:spacing w:before="0" w:after="200"/>
      </w:pPr>
      <w:r>
        <w:rPr>
          <w:rFonts w:eastAsia="微软雅黑" w:ascii="微软雅黑" w:hAnsi="微软雅黑"/>
          <w:sz w:val="22"/>
          <w:color w:val="1F3864"/>
        </w:rPr>
        <w:t xml:space="preserve">本项目依托一座装机容量100MW的光伏场站，利用其自发电量为算力基础设施提供绿色电力。方案核心逻辑是“光伏发电 + 算力消纳”的绿电一体化模式。</w:t>
      </w:r>
    </w:p>
    <w:p>
      <w:pPr>
        <w:jc w:val="left"/>
        <w:spacing w:before="0" w:after="200"/>
      </w:pPr>
      <w:r>
        <w:rPr>
          <w:rFonts w:eastAsia="微软雅黑" w:ascii="微软雅黑" w:hAnsi="微软雅黑"/>
          <w:sz w:val="22"/>
          <w:color w:val="1F3864"/>
        </w:rPr>
        <w:t xml:space="preserve">数字逻辑修正说明：经严谨核算，100MW光伏场站年发电量约1.2-1.4亿 kWh，按自用消纳50%上限，实际可用自用电量约0.6-0.7亿 kWh，折算连续可用电功率仅约0.68-0.80MW。因此，原方案中“万卡级GPU集群（10-20MW）”与光伏场站的电力供给能力存在严重矛盾。本修正版将万卡级规划调整为远期目标（需结合外部绿电采购或储能方案），近期聚焦于百卡级训练+推理服务以及算力商城等可落地业务。</w:t>
      </w:r>
    </w:p>
    <w:p>
      <w:pPr>
        <w:jc w:val="left"/>
        <w:spacing w:before="400" w:after="300"/>
      </w:pPr>
      <w:r>
        <w:rPr>
          <w:rFonts w:eastAsia="微软雅黑" w:ascii="微软雅黑" w:hAnsi="微软雅黑"/>
          <w:sz w:val="32"/>
          <w:color w:val="1F3864"/>
          <w:b/>
        </w:rPr>
        <w:t xml:space="preserve">二、光伏场站核心指标</w:t>
      </w:r>
    </w:p>
    <w:tbl>
      <w:tblPr>
        <w:tblW w:w="5000" w:type="pct"/>
        <w:jc w:val="left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4A0"/>
      </w:tblPr>
      <w:tblGrid>
        <w:gridCol w:w="2200"/>
        <w:gridCol w:w="2200"/>
        <w:gridCol w:w="4600"/>
      </w:tblGrid>
      <w:tr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参数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数值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备注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装机容量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100 MW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峰值直流侧容量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年发电量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1.2 - 1.4 亿 kWh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按1200-1400利用小时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年利用小时数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1,200 - 1,400 h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三类光照资源区典型值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自用消纳比例上限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50%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电网并网协议约束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自用电量（可用）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0.6 - 0.7 亿 kWh/年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发电量×50%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折算连续可用电功率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约0.68 - 0.80 MW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自用电量÷8760h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自用日均发电量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约16.4 - 19.2 万 kWh/日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按年发电量/365×50%</w:t>
            </w:r>
          </w:p>
        </w:tc>
      </w:tr>
    </w:tbl>
    <w:p>
      <w:pPr>
        <w:spacing w:before="0" w:after="0"/>
      </w:pPr>
    </w:p>
    <w:p>
      <w:pPr>
        <w:jc w:val="left"/>
        <w:spacing w:before="0" w:after="200"/>
      </w:pPr>
      <w:r>
        <w:rPr>
          <w:rFonts w:eastAsia="微软雅黑" w:ascii="微软雅黑" w:hAnsi="微软雅黑"/>
          <w:sz w:val="22"/>
          <w:color w:val="C00000"/>
        </w:rPr>
        <w:t xml:space="preserve">关键约束：50%自用消纳限制下，实际可连续运行的算力设备总功率不能超过约800kW。若算力设备24小时不间断运行，须确保该功率在光伏发电曲线低谷时段（夜间）可通过储能或电网购电补充。</w:t>
      </w:r>
    </w:p>
    <w:p>
      <w:pPr>
        <w:jc w:val="left"/>
        <w:spacing w:before="400" w:after="300"/>
      </w:pPr>
      <w:r>
        <w:rPr>
          <w:rFonts w:eastAsia="微软雅黑" w:ascii="微软雅黑" w:hAnsi="微软雅黑"/>
          <w:sz w:val="32"/>
          <w:color w:val="1F3864"/>
          <w:b/>
        </w:rPr>
        <w:t xml:space="preserve">三、算力业务规划</w:t>
      </w:r>
    </w:p>
    <w:p>
      <w:pPr>
        <w:jc w:val="left"/>
        <w:spacing w:before="0" w:after="200"/>
      </w:pPr>
      <w:r>
        <w:rPr>
          <w:rFonts w:eastAsia="微软雅黑" w:ascii="微软雅黑" w:hAnsi="微软雅黑"/>
          <w:sz w:val="24"/>
          <w:color w:val="1F3864"/>
        </w:rPr>
        <w:t xml:space="preserve">基于0.68-0.80MW的连续可用电功率约束，本方案聚焦于百卡级算力业务（段2+段3），万卡级仅作远期规划。</w:t>
      </w:r>
    </w:p>
    <w:p>
      <w:pPr>
        <w:jc w:val="left"/>
        <w:spacing w:before="400" w:after="200"/>
      </w:pPr>
      <w:r>
        <w:rPr>
          <w:rFonts w:eastAsia="微软雅黑" w:ascii="微软雅黑" w:hAnsi="微软雅黑"/>
          <w:sz w:val="28"/>
          <w:color w:val="2E75B6"/>
          <w:b/>
        </w:rPr>
        <w:t xml:space="preserve">3.1 对接垂直AI企业——百卡级训练服务</w:t>
      </w:r>
    </w:p>
    <w:p>
      <w:pPr>
        <w:jc w:val="left"/>
        <w:spacing w:before="0" w:after="200"/>
      </w:pPr>
      <w:r>
        <w:rPr>
          <w:rFonts w:eastAsia="微软雅黑" w:ascii="微软雅黑" w:hAnsi="微软雅黑"/>
          <w:sz w:val="24"/>
          <w:color w:val="1F3864"/>
        </w:rPr>
        <w:t xml:space="preserve">为小型AI团队、垂直领域企业提供GPU训练算力租赁服务。</w:t>
      </w:r>
    </w:p>
    <w:tbl>
      <w:tblPr>
        <w:tblW w:w="5000" w:type="pct"/>
        <w:jc w:val="left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4A0"/>
      </w:tblPr>
      <w:tblGrid>
        <w:gridCol w:w="2800"/>
        <w:gridCol w:w="6200"/>
      </w:tblGrid>
      <w:tr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参数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数值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GPU配置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6台H100 PCIe（每台8卡）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总算力（BF16）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约48 PFLOPS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额定功率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25 kW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年耗电量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约21.9 万kWh（25kW×24h×365d）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占自用电量比例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约3.1-3.6%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服务器成本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约1,300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网络设备成本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约150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存储成本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约80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机柜配套成本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约80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总投资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约1,610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月收入（3-5家客户）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40 - 60 万元/月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年收入预估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480 - 720 万元/年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回本周期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约2.3 - 3.3 年</w:t>
            </w:r>
          </w:p>
        </w:tc>
      </w:tr>
    </w:tbl>
    <w:p>
      <w:pPr>
        <w:spacing w:before="0" w:after="0"/>
      </w:pPr>
    </w:p>
    <w:p>
      <w:pPr>
        <w:jc w:val="left"/>
        <w:spacing w:before="0" w:after="200"/>
      </w:pPr>
      <w:r>
        <w:rPr>
          <w:rFonts w:eastAsia="微软雅黑" w:ascii="微软雅黑" w:hAnsi="微软雅黑"/>
          <w:sz w:val="20"/>
          <w:color w:val="2E75B6"/>
        </w:rPr>
        <w:t xml:space="preserve">数字逻辑：功率25kW × 24h × 365d = 219,000 kWh/年 ÷ 0.6亿kWh ≈ 3.6%，电力供给充裕。回本周期1610万÷55万≈29个月≈2.4年，与保守估算一致。</w:t>
      </w:r>
    </w:p>
    <w:p>
      <w:pPr>
        <w:jc w:val="left"/>
        <w:spacing w:before="400" w:after="200"/>
      </w:pPr>
      <w:r>
        <w:rPr>
          <w:rFonts w:eastAsia="微软雅黑" w:ascii="微软雅黑" w:hAnsi="微软雅黑"/>
          <w:sz w:val="28"/>
          <w:color w:val="2E75B6"/>
          <w:b/>
        </w:rPr>
        <w:t xml:space="preserve">3.2 对接垂直AI企业——百卡级推理服务</w:t>
      </w:r>
    </w:p>
    <w:p>
      <w:pPr>
        <w:jc w:val="left"/>
        <w:spacing w:before="0" w:after="200"/>
      </w:pPr>
      <w:r>
        <w:rPr>
          <w:rFonts w:eastAsia="微软雅黑" w:ascii="微软雅黑" w:hAnsi="微软雅黑"/>
          <w:sz w:val="24"/>
          <w:color w:val="1F3864"/>
        </w:rPr>
        <w:t xml:space="preserve">面向AI推理场景（大模型推理、图像生成等）提供L40S推理集群服务。</w:t>
      </w:r>
    </w:p>
    <w:tbl>
      <w:tblPr>
        <w:tblW w:w="5000" w:type="pct"/>
        <w:jc w:val="left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4A0"/>
      </w:tblPr>
      <w:tblGrid>
        <w:gridCol w:w="2800"/>
        <w:gridCol w:w="6200"/>
      </w:tblGrid>
      <w:tr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参数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数值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GPU配置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50台L40S（每台4-8卡）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总算力（FP8）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约293 PFLOPS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额定功率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150 kW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年耗电量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约131.4 万kWh（150kW×24h×365d）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占自用电量比例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约18.8-21.9%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服务器成本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约2,900 - 3,000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网络设备成本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约50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存储成本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约50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总投资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约3,000 - 3,100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月收入（8-12家客户）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70 - 100 万元/月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年收入预估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840 - 1,200 万元/年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回本周期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约2.6 - 3.7 年</w:t>
            </w:r>
          </w:p>
        </w:tc>
      </w:tr>
    </w:tbl>
    <w:p>
      <w:pPr>
        <w:spacing w:before="0" w:after="0"/>
      </w:pPr>
    </w:p>
    <w:p>
      <w:pPr>
        <w:jc w:val="left"/>
        <w:spacing w:before="0" w:after="200"/>
      </w:pPr>
      <w:r>
        <w:rPr>
          <w:rFonts w:eastAsia="微软雅黑" w:ascii="微软雅黑" w:hAnsi="微软雅黑"/>
          <w:sz w:val="20"/>
          <w:color w:val="2E75B6"/>
        </w:rPr>
        <w:t xml:space="preserve">数字逻辑：150kW × 24h × 365d = 1,314,000 kWh/年 ÷ 0.6亿kWh ≈ 21.9%，加上训练25kW合计约25.5%，总功率175kW，在可用电功率0.68MW范围内。回本周期约3年，属于正常算力租赁业务水平。</w:t>
      </w:r>
    </w:p>
    <w:p>
      <w:pPr>
        <w:jc w:val="left"/>
        <w:spacing w:before="400" w:after="200"/>
      </w:pPr>
      <w:r>
        <w:rPr>
          <w:rFonts w:eastAsia="微软雅黑" w:ascii="微软雅黑" w:hAnsi="微软雅黑"/>
          <w:sz w:val="28"/>
          <w:color w:val="2E75B6"/>
          <w:b/>
        </w:rPr>
        <w:t xml:space="preserve">3.3 算力商城/中小企业开发者服务</w:t>
      </w:r>
    </w:p>
    <w:p>
      <w:pPr>
        <w:jc w:val="left"/>
        <w:spacing w:before="0" w:after="200"/>
      </w:pPr>
      <w:r>
        <w:rPr>
          <w:rFonts w:eastAsia="微软雅黑" w:ascii="微软雅黑" w:hAnsi="微软雅黑"/>
          <w:sz w:val="24"/>
          <w:color w:val="1F3864"/>
        </w:rPr>
        <w:t xml:space="preserve">面向中小企业和个人开发者，提供按需算力资源（GPU云服务模式）。</w:t>
      </w:r>
    </w:p>
    <w:tbl>
      <w:tblPr>
        <w:tblW w:w="5000" w:type="pct"/>
        <w:jc w:val="left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4A0"/>
      </w:tblPr>
      <w:tblGrid>
        <w:gridCol w:w="2800"/>
        <w:gridCol w:w="6200"/>
      </w:tblGrid>
      <w:tr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参数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数值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GPU配置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3台H100 PCIe + 30台L40S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总算力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混合配置，兼顾训练+推理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额定功率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102 kW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年耗电量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约89.4 万kWh（102kW×24h×365d）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占自用电量比例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约12.8-14.9%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服务器成本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约2,800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网络设备成本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约100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机柜配套成本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约80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总投资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约2,980 万元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月收入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50 - 80 万元/月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年收入预估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600 - 960 万元/年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回本周期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约3.5 - 4.5 年</w:t>
            </w:r>
          </w:p>
        </w:tc>
      </w:tr>
    </w:tbl>
    <w:p>
      <w:pPr>
        <w:spacing w:before="0" w:after="0"/>
      </w:pPr>
    </w:p>
    <w:p>
      <w:pPr>
        <w:jc w:val="left"/>
        <w:spacing w:before="0" w:after="200"/>
      </w:pPr>
      <w:r>
        <w:rPr>
          <w:rFonts w:eastAsia="微软雅黑" w:ascii="微软雅黑" w:hAnsi="微软雅黑"/>
          <w:sz w:val="20"/>
          <w:color w:val="2E75B6"/>
        </w:rPr>
        <w:t xml:space="preserve">数字逻辑：102kW，回本周期2980÷65万≈45.8个月≈3.8年，与4年基本一致。</w:t>
      </w:r>
    </w:p>
    <w:p>
      <w:pPr>
        <w:jc w:val="left"/>
        <w:spacing w:before="400" w:after="200"/>
      </w:pPr>
      <w:r>
        <w:rPr>
          <w:rFonts w:eastAsia="微软雅黑" w:ascii="微软雅黑" w:hAnsi="微软雅黑"/>
          <w:sz w:val="28"/>
          <w:color w:val="2E75B6"/>
          <w:b/>
        </w:rPr>
        <w:t xml:space="preserve">3.4 万卡级规划——远期路线（需结合外部绿电采购）</w:t>
      </w:r>
    </w:p>
    <w:p>
      <w:pPr>
        <w:jc w:val="left"/>
        <w:spacing w:before="0" w:after="200"/>
      </w:pPr>
      <w:r>
        <w:rPr>
          <w:rFonts w:eastAsia="微软雅黑" w:ascii="微软雅黑" w:hAnsi="微软雅黑"/>
          <w:sz w:val="24"/>
          <w:color w:val="1F3864"/>
        </w:rPr>
        <w:t xml:space="preserve">原方案中的万卡级GPU集群（10-20MW）与100MW光伏场站的自用电量约束严重矛盾。按0.68MW连续可用电功率，最多仅能支撑约13.6%的万卡级训练电力需求（假设10MW基准）。</w:t>
      </w:r>
    </w:p>
    <w:p>
      <w:pPr>
        <w:jc w:val="left"/>
        <w:spacing w:before="0" w:after="200"/>
      </w:pPr>
      <w:r>
        <w:rPr>
          <w:rFonts w:eastAsia="微软雅黑" w:ascii="微软雅黑" w:hAnsi="微软雅黑"/>
          <w:sz w:val="24"/>
          <w:color w:val="1F3864"/>
        </w:rPr>
        <w:t xml:space="preserve">因此，万卡级算力中心不纳入本方案近期实施范围，仅作为远期战略方向，需同时满足以下前提：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与大型风电/光伏基地签订绿电采购协议（PPA），补充电力缺口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配套建设储能电站（如100MW/200MWh），实现削峰填谷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增加并网点容量，争取更高的自用消纳比例（通过电网审批）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引入大型云厂商作为合作方，分担投资与运营风险</w:t>
      </w:r>
    </w:p>
    <w:p>
      <w:pPr>
        <w:spacing w:before="0" w:after="0"/>
      </w:pPr>
    </w:p>
    <w:p>
      <w:pPr>
        <w:jc w:val="left"/>
        <w:spacing w:before="400" w:after="300"/>
      </w:pPr>
      <w:r>
        <w:rPr>
          <w:rFonts w:eastAsia="微软雅黑" w:ascii="微软雅黑" w:hAnsi="微软雅黑"/>
          <w:sz w:val="32"/>
          <w:color w:val="1F3864"/>
          <w:b/>
        </w:rPr>
        <w:t xml:space="preserve">四、数字逻辑检核与修正说明</w:t>
      </w:r>
    </w:p>
    <w:p>
      <w:pPr>
        <w:jc w:val="left"/>
        <w:spacing w:before="0" w:after="200"/>
      </w:pPr>
      <w:r>
        <w:rPr>
          <w:rFonts w:eastAsia="微软雅黑" w:ascii="微软雅黑" w:hAnsi="微软雅黑"/>
          <w:sz w:val="24"/>
          <w:color w:val="1F3864"/>
        </w:rPr>
        <w:t xml:space="preserve">本方案对原始数据进行了逐一核算，以下为详细检核结果：</w:t>
      </w:r>
    </w:p>
    <w:p>
      <w:pPr>
        <w:jc w:val="left"/>
        <w:spacing w:before="400" w:after="200"/>
      </w:pPr>
      <w:r>
        <w:rPr>
          <w:rFonts w:eastAsia="微软雅黑" w:ascii="微软雅黑" w:hAnsi="微软雅黑"/>
          <w:sz w:val="28"/>
          <w:color w:val="2E75B6"/>
          <w:b/>
        </w:rPr>
        <w:t xml:space="preserve">4.1 光伏场站基础数据</w:t>
      </w:r>
    </w:p>
    <w:tbl>
      <w:tblPr>
        <w:tblW w:w="5000" w:type="pct"/>
        <w:jc w:val="left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4A0"/>
      </w:tblPr>
      <w:tblGrid>
        <w:gridCol w:w="2400"/>
        <w:gridCol w:w="3600"/>
        <w:gridCol w:w="3000"/>
      </w:tblGrid>
      <w:tr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检查项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计算过程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结果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年发电量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100MW × 1,200-1,400h = 1.2-1.4亿kWh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✅ 一致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自用电量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1.2-1.4亿 × 50% = 0.6-0.7亿kWh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✅ 一致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连续可用功率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0.6亿 ÷ 8,760h ≈ 0.68MW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✅ 合理</w:t>
            </w:r>
          </w:p>
        </w:tc>
      </w:tr>
    </w:tbl>
    <w:p>
      <w:pPr>
        <w:spacing w:before="0" w:after="0"/>
      </w:pPr>
    </w:p>
    <w:p>
      <w:pPr>
        <w:jc w:val="left"/>
        <w:spacing w:before="400" w:after="200"/>
      </w:pPr>
      <w:r>
        <w:rPr>
          <w:rFonts w:eastAsia="微软雅黑" w:ascii="微软雅黑" w:hAnsi="微软雅黑"/>
          <w:sz w:val="28"/>
          <w:color w:val="2E75B6"/>
          <w:b/>
        </w:rPr>
        <w:t xml:space="preserve">4.2 算力板块电力匹配</w:t>
      </w:r>
    </w:p>
    <w:tbl>
      <w:tblPr>
        <w:tblW w:w="5000" w:type="pct"/>
        <w:jc w:val="left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4A0"/>
      </w:tblPr>
      <w:tblGrid>
        <w:gridCol w:w="2000"/>
        <w:gridCol w:w="1300"/>
        <w:gridCol w:w="1700"/>
        <w:gridCol w:w="1800"/>
        <w:gridCol w:w="2200"/>
      </w:tblGrid>
      <w:tr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算力板块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总功率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年耗电量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占自用电量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电力匹配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训练百卡（H100×6）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25 kW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21.9万kWh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3.1-3.6%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✅ 充裕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推理百卡（L40S×50）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150 kW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131.4万kWh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18.8-21.9%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✅ 充裕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算力商城（混合）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102 kW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89.4万kWh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12.8-14.9%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✅ 充裕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以上合计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277 kW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242.7万kWh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34.7-40.5%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✅ 在限额内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原方案万卡训练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10-20 MW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8,760-17,520万kWh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1250-2500%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❌ 远超限额</w:t>
            </w:r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jc w:val="left"/>
        <w:spacing w:before="400" w:after="200"/>
      </w:pPr>
      <w:r>
        <w:rPr>
          <w:rFonts w:eastAsia="微软雅黑" w:ascii="微软雅黑" w:hAnsi="微软雅黑"/>
          <w:sz w:val="28"/>
          <w:color w:val="2E75B6"/>
          <w:b/>
        </w:rPr>
        <w:t xml:space="preserve">4.3 回本周期校验</w:t>
      </w:r>
    </w:p>
    <w:tbl>
      <w:tblPr>
        <w:tblW w:w="5000" w:type="pct"/>
        <w:jc w:val="left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4A0"/>
      </w:tblPr>
      <w:tblGrid>
        <w:gridCol w:w="1000"/>
        <w:gridCol w:w="1500"/>
        <w:gridCol w:w="1500"/>
        <w:gridCol w:w="2000"/>
        <w:gridCol w:w="2000"/>
        <w:gridCol w:w="1000"/>
      </w:tblGrid>
      <w:tr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板块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总投资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月收入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计算回本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方案回本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判定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训练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1,610万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40-60万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27-40个月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2.3-3.3年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✅ 合理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推理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3,100万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70-100万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31-44个月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2.6-3.7年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✅ 合理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商城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2,980万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50-80万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37-60个月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3.5-4.5年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✅ 基本一致</w:t>
            </w:r>
          </w:p>
        </w:tc>
      </w:tr>
    </w:tbl>
    <w:p>
      <w:pPr>
        <w:spacing w:before="0" w:after="0"/>
      </w:pPr>
    </w:p>
    <w:p>
      <w:pPr>
        <w:jc w:val="left"/>
        <w:spacing w:before="0" w:after="200"/>
      </w:pPr>
      <w:r>
        <w:rPr>
          <w:rFonts w:eastAsia="微软雅黑" w:ascii="微软雅黑" w:hAnsi="微软雅黑"/>
          <w:sz w:val="22"/>
          <w:color w:val="C00000"/>
        </w:rPr>
        <w:t xml:space="preserve">核心修正：原方案段1（万卡级）与场站电力供给矛盾不可调和，已移除至远期规划。修正后的方案电力总负荷约277kW，占连续可用功率的34.7-40.5%，预留了约60-65%的裕量用于日常运维、照明、空调等辅助设施，设计合理。</w:t>
      </w:r>
    </w:p>
    <w:p>
      <w:pPr>
        <w:jc w:val="left"/>
        <w:spacing w:before="400" w:after="300"/>
      </w:pPr>
      <w:r>
        <w:rPr>
          <w:rFonts w:eastAsia="微软雅黑" w:ascii="微软雅黑" w:hAnsi="微软雅黑"/>
          <w:sz w:val="32"/>
          <w:color w:val="1F3864"/>
          <w:b/>
        </w:rPr>
        <w:t xml:space="preserve">五、风险评估</w:t>
      </w:r>
    </w:p>
    <w:p>
      <w:pPr>
        <w:jc w:val="left"/>
        <w:spacing w:before="400" w:after="200"/>
      </w:pPr>
      <w:r>
        <w:rPr>
          <w:rFonts w:eastAsia="微软雅黑" w:ascii="微软雅黑" w:hAnsi="微软雅黑"/>
          <w:sz w:val="28"/>
          <w:color w:val="2E75B6"/>
          <w:b/>
        </w:rPr>
        <w:t xml:space="preserve">5.1 电力供应风险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光伏发电受天气影响，年发电量存在±15%波动风险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自用消纳50%上限是刚性约束，若有突破需重新审批并网方案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建议：配置储能系统（如5MW/20MWh），平滑夜间和阴天电力供给</w:t>
      </w:r>
    </w:p>
    <w:p>
      <w:pPr>
        <w:jc w:val="left"/>
        <w:spacing w:before="400" w:after="200"/>
      </w:pPr>
      <w:r>
        <w:rPr>
          <w:rFonts w:eastAsia="微软雅黑" w:ascii="微软雅黑" w:hAnsi="微软雅黑"/>
          <w:sz w:val="28"/>
          <w:color w:val="2E75B6"/>
          <w:b/>
        </w:rPr>
        <w:t xml:space="preserve">5.2 算力市场风险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GPU算力租赁市场竞争激烈，价格下行压力大（H100租金年降幅约20-30%）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算力设备更新换代快（1.5-2年一代），投资回收期可能被拉长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建议：采用分期投资策略，首批投入50%，根据客户签约情况追加</w:t>
      </w:r>
    </w:p>
    <w:p>
      <w:pPr>
        <w:jc w:val="left"/>
        <w:spacing w:before="400" w:after="200"/>
      </w:pPr>
      <w:r>
        <w:rPr>
          <w:rFonts w:eastAsia="微软雅黑" w:ascii="微软雅黑" w:hAnsi="微软雅黑"/>
          <w:sz w:val="28"/>
          <w:color w:val="2E75B6"/>
          <w:b/>
        </w:rPr>
        <w:t xml:space="preserve">5.3 技术风险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液冷/高密度机柜运维门槛高，需专业团队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光伏+算力的电力质量控制（谐波、闪变等）需专门设计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建议：与成熟IDC运维团队合作，或采用预制模块化数据中心方案</w:t>
      </w:r>
    </w:p>
    <w:p>
      <w:pPr>
        <w:jc w:val="left"/>
        <w:spacing w:before="400" w:after="200"/>
      </w:pPr>
      <w:r>
        <w:rPr>
          <w:rFonts w:eastAsia="微软雅黑" w:ascii="微软雅黑" w:hAnsi="微软雅黑"/>
          <w:sz w:val="28"/>
          <w:color w:val="2E75B6"/>
          <w:b/>
        </w:rPr>
        <w:t xml:space="preserve">5.4 政策风险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绿证/碳交易政策可能变化，影响绿电益价收益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算力相关出口管制可能影响GPU采购和维保</w:t>
      </w:r>
    </w:p>
    <w:p>
      <w:pPr>
        <w:jc w:val="left"/>
        <w:spacing w:before="400" w:after="300"/>
      </w:pPr>
      <w:r>
        <w:rPr>
          <w:rFonts w:eastAsia="微软雅黑" w:ascii="微软雅黑" w:hAnsi="微软雅黑"/>
          <w:sz w:val="32"/>
          <w:color w:val="1F3864"/>
          <w:b/>
        </w:rPr>
        <w:t xml:space="preserve">六、建设流程</w:t>
      </w:r>
    </w:p>
    <w:tbl>
      <w:tblPr>
        <w:tblW w:w="5000" w:type="pct"/>
        <w:jc w:val="left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ook w:val="04A0"/>
      </w:tblPr>
      <w:tblGrid>
        <w:gridCol w:w="2200"/>
        <w:gridCol w:w="1400"/>
        <w:gridCol w:w="5400"/>
      </w:tblGrid>
      <w:tr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阶段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时间</w:t>
            </w:r>
          </w:p>
        </w:tc>
        <w:tc>
          <w:tcPr>
            <w:shd w:val="clear" w:color="auto" w:fill="1F3864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FFFFFF"/>
                <w:b/>
              </w:rPr>
              <w:t>主要工作内容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Phase 0: 可行性论证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1-2个月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光伏场站电力接入勘测、算力市场需求调研、财务模型测算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Phase 1: 基础设施改造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3-4个月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光伏场站增容改造、配电系统升级、小型数据机房建设（200-300m²）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Phase 2: 算力设备采购与部署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2-3个月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GPU服务器采购（分批）、网络布线、系统调试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Phase 3: 市场拓展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持续（与P2并行）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客户签约（优先锁定3-5家训练+8-12家推理客户）、算力商城上线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Phase 4: 运营优化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持续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负载调度优化、电力成本优化、拓展新客户</w:t>
            </w:r>
          </w:p>
        </w:tc>
      </w:tr>
      <w:tr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远期：万卡级中心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2-3年后</w:t>
            </w:r>
          </w:p>
        </w:tc>
        <w:tc>
          <w:tcPr>
            <w:shd w:val="clear" w:color="auto" w:fill="FFFFFF"/>
            <w:tcW w:w="3000" w:type="dxa"/>
          </w:tcPr>
          <w:p>
            <w:pPr>
              <w:jc w:val="center"/>
              <w:spacing w:before="60" w:after="60"/>
            </w:pPr>
            <w:r>
              <w:rPr>
                <w:rFonts w:eastAsia="微软雅黑" w:ascii="微软雅黑" w:hAnsi="微软雅黑"/>
                <w:sz w:val="20"/>
                <w:color w:val="1F3864"/>
              </w:rPr>
              <w:t>绿电PPA签订、储能配套、选址新建大型数据中心</w:t>
            </w:r>
          </w:p>
        </w:tc>
      </w:tr>
    </w:tbl>
    <w:p>
      <w:pPr>
        <w:spacing w:before="0" w:after="0"/>
      </w:pPr>
    </w:p>
    <w:p>
      <w:pPr>
        <w:jc w:val="left"/>
        <w:spacing w:before="400" w:after="300"/>
      </w:pPr>
      <w:r>
        <w:rPr>
          <w:rFonts w:eastAsia="微软雅黑" w:ascii="微软雅黑" w:hAnsi="微软雅黑"/>
          <w:sz w:val="32"/>
          <w:color w:val="1F3864"/>
          <w:b/>
        </w:rPr>
        <w:t xml:space="preserve">七、结论</w:t>
      </w:r>
    </w:p>
    <w:p>
      <w:pPr>
        <w:jc w:val="left"/>
        <w:spacing w:before="0" w:after="200"/>
      </w:pPr>
      <w:r>
        <w:rPr>
          <w:rFonts w:eastAsia="微软雅黑" w:ascii="微软雅黑" w:hAnsi="微软雅黑"/>
          <w:sz w:val="24"/>
          <w:color w:val="1F3864"/>
        </w:rPr>
        <w:t xml:space="preserve">本方案依托100MW光伏场站，在50%自用消纳的约束下，形成了以百卡级GPU算力服务为核心的可落地业务规划。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电力层面：总算力负荷约277kW，占可用电力的34.7-40.5%，留有充分裕量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财务层面：总投资约7,690万元（训练1,610万+推理3,100万+商城2,980万），综合年收入约1,920-2,880万元，加权回本周期约3-4年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市场层面：百卡级服务面向垂直AI企业和中小开发者，市场需求明确，客户获取成本可控</w:t>
      </w:r>
    </w:p>
    <w:p>
      <w:pPr>
        <w:spacing w:before="60" w:after="60"/>
        <w:ind w:left="420" w:hanging="420"/>
      </w:pPr>
      <w:r>
        <w:rPr>
          <w:rFonts w:eastAsia="微软雅黑" w:ascii="微软雅黑" w:hAnsi="微软雅黑"/>
          <w:sz w:val="22"/>
          <w:color w:val="1F3864"/>
        </w:rPr>
        <w:t>风险层面：通过分期投资、储能配套、专业运维合作等策略有效控制</w:t>
      </w:r>
    </w:p>
    <w:p>
      <w:pPr>
        <w:spacing w:before="0" w:after="0"/>
      </w:pPr>
    </w:p>
    <w:p>
      <w:pPr>
        <w:jc w:val="left"/>
        <w:spacing w:before="0" w:after="200"/>
      </w:pPr>
      <w:r>
        <w:rPr>
          <w:rFonts w:eastAsia="微软雅黑" w:ascii="微软雅黑" w:hAnsi="微软雅黑"/>
          <w:sz w:val="24"/>
          <w:color w:val="1F3864"/>
          <w:b/>
        </w:rPr>
        <w:t xml:space="preserve">万卡级规划作为远期方向，需在绿电采购、储能配套等条件成熟后推进，不纳入本期投资范围。</w:t>
      </w:r>
    </w:p>
    <w:p>
      <w:pPr>
        <w:spacing w:before="0" w:after="0"/>
      </w:pPr>
    </w:p>
    <w:p>
      <w:pPr>
        <w:jc w:val="left"/>
        <w:spacing w:before="0" w:after="200"/>
      </w:pPr>
      <w:r>
        <w:rPr>
          <w:rFonts w:eastAsia="微软雅黑" w:ascii="微软雅黑" w:hAnsi="微软雅黑"/>
          <w:sz w:val="24"/>
          <w:color w:val="1F3864"/>
        </w:rPr>
        <w:t xml:space="preserve">综上，修正后的光伏场站算电一体化方案数字逻辑自洽、可操作性强、风险可控，具备实际推进价值。</w:t>
      </w:r>
    </w:p>
  </w:body>
</w:document>
</file>

<file path=word/styles.xml><?xml version="1.0" encoding="utf-8"?>
<w:styles xmlns:w="http://schemas.openxmlformats.org/wordprocessingml/2006/main">
  <w:style w:type="paragraph" w:styleId="Normal">
    <w:name w:val="Normal"/>
    <w:pPr>
      <w:spacing w:before="0" w:after="200"/>
    </w:pPr>
    <w:rPr>
      <w:rFonts w:eastAsia="微软雅黑" w:ascii="微软雅黑" w:hAnsi="微软雅黑"/>
      <w:sz w:val="22"/>
      <w:color w:val="1F386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TargetMode="External"/></Relationships>
</file>